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97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</w:p>
    <w:p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167B82">
        <w:rPr>
          <w:rFonts w:ascii="Arial Bold" w:hAnsi="Arial Bold" w:cs="Arial"/>
          <w:b/>
          <w:caps/>
          <w:sz w:val="22"/>
          <w:szCs w:val="22"/>
        </w:rPr>
        <w:t>A</w:t>
      </w:r>
      <w:r w:rsidR="00431F16">
        <w:rPr>
          <w:rFonts w:ascii="Arial Bold" w:hAnsi="Arial Bold" w:cs="Arial"/>
          <w:b/>
          <w:caps/>
          <w:sz w:val="22"/>
          <w:szCs w:val="22"/>
        </w:rPr>
        <w:t>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47"/>
        <w:gridCol w:w="1247"/>
        <w:gridCol w:w="1276"/>
        <w:gridCol w:w="1276"/>
        <w:gridCol w:w="1275"/>
        <w:gridCol w:w="2410"/>
      </w:tblGrid>
      <w:tr w:rsidR="00546DB8" w:rsidRPr="004B4E81" w:rsidTr="00A04E11">
        <w:tc>
          <w:tcPr>
            <w:tcW w:w="993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47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47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2A53B5" w:rsidRPr="004B4E81" w:rsidTr="00A04E11">
        <w:trPr>
          <w:trHeight w:val="839"/>
        </w:trPr>
        <w:tc>
          <w:tcPr>
            <w:tcW w:w="993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2A53B5" w:rsidRPr="004B4E81" w:rsidRDefault="000B6BFB" w:rsidP="00A04E1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>
              <w:rPr>
                <w:rFonts w:eastAsia="Calibri" w:cs="Arial"/>
              </w:rPr>
              <w:t>9.</w:t>
            </w:r>
            <w:r w:rsidR="00A04E11">
              <w:rPr>
                <w:rFonts w:eastAsia="Calibri" w:cs="Arial"/>
              </w:rPr>
              <w:t>3</w:t>
            </w:r>
            <w:r>
              <w:rPr>
                <w:rFonts w:eastAsia="Calibri" w:cs="Arial"/>
              </w:rPr>
              <w:t>.1.1</w:t>
            </w:r>
          </w:p>
        </w:tc>
        <w:tc>
          <w:tcPr>
            <w:tcW w:w="3147" w:type="dxa"/>
            <w:shd w:val="clear" w:color="auto" w:fill="auto"/>
          </w:tcPr>
          <w:p w:rsidR="002A53B5" w:rsidRPr="000B6BFB" w:rsidRDefault="00A04E11" w:rsidP="00A04E11">
            <w:pPr>
              <w:rPr>
                <w:rFonts w:cs="Arial"/>
                <w:sz w:val="22"/>
                <w:szCs w:val="22"/>
              </w:rPr>
            </w:pPr>
            <w:r w:rsidRPr="00A04E11">
              <w:rPr>
                <w:rFonts w:cs="Arial"/>
                <w:sz w:val="22"/>
                <w:szCs w:val="22"/>
              </w:rPr>
              <w:t>The company’s years of experience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04E11">
              <w:rPr>
                <w:rFonts w:cs="Arial"/>
                <w:sz w:val="22"/>
                <w:szCs w:val="22"/>
              </w:rPr>
              <w:t>and organisational structure to render the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04E11">
              <w:rPr>
                <w:rFonts w:cs="Arial"/>
                <w:sz w:val="22"/>
                <w:szCs w:val="22"/>
              </w:rPr>
              <w:t>employee assistance programme services as outlined in 9.2.</w:t>
            </w:r>
          </w:p>
        </w:tc>
        <w:tc>
          <w:tcPr>
            <w:tcW w:w="1247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EB049F" wp14:editId="691CF128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53B5" w:rsidRDefault="002A53B5" w:rsidP="002A53B5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EB049F" id="Rectangle 1" o:spid="_x0000_s1026" style="position:absolute;left:0;text-align:left;margin-left:37.2pt;margin-top:9.15pt;width:228pt;height:6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" filled="f" stroked="f" strokeweight="2pt">
                      <v:textbox>
                        <w:txbxContent>
                          <w:p w:rsidR="002A53B5" w:rsidRDefault="002A53B5" w:rsidP="002A53B5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A53B5" w:rsidRPr="004B4E81" w:rsidRDefault="002A53B5" w:rsidP="002A53B5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2A53B5" w:rsidRPr="004B4E81" w:rsidTr="00A04E11">
        <w:trPr>
          <w:trHeight w:val="382"/>
        </w:trPr>
        <w:tc>
          <w:tcPr>
            <w:tcW w:w="993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2A53B5" w:rsidRPr="004B4E81" w:rsidRDefault="00A04E11" w:rsidP="00A04E1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>
              <w:rPr>
                <w:rFonts w:eastAsia="Calibri" w:cs="Arial"/>
              </w:rPr>
              <w:t>9.3</w:t>
            </w:r>
            <w:r w:rsidR="000B6BFB">
              <w:rPr>
                <w:rFonts w:eastAsia="Calibri" w:cs="Arial"/>
              </w:rPr>
              <w:t>.</w:t>
            </w:r>
            <w:r>
              <w:rPr>
                <w:rFonts w:eastAsia="Calibri" w:cs="Arial"/>
              </w:rPr>
              <w:t>2</w:t>
            </w:r>
            <w:r w:rsidR="000B6BFB">
              <w:rPr>
                <w:rFonts w:eastAsia="Calibri" w:cs="Arial"/>
              </w:rPr>
              <w:t>.</w:t>
            </w:r>
            <w:r>
              <w:rPr>
                <w:rFonts w:eastAsia="Calibri" w:cs="Arial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:rsidR="00A04E11" w:rsidRPr="00A04E11" w:rsidRDefault="00A04E11" w:rsidP="00A04E11">
            <w:pPr>
              <w:rPr>
                <w:rFonts w:cs="Arial"/>
                <w:sz w:val="22"/>
                <w:szCs w:val="22"/>
              </w:rPr>
            </w:pPr>
            <w:r w:rsidRPr="00A04E11">
              <w:rPr>
                <w:rFonts w:cs="Arial"/>
                <w:sz w:val="22"/>
                <w:szCs w:val="22"/>
              </w:rPr>
              <w:t>The Bidder has to provide full contact details of a Key Account Manager, with a minimum of three (3) years of experience who will be assigned to SARS including:</w:t>
            </w:r>
          </w:p>
          <w:p w:rsidR="00A04E11" w:rsidRPr="00A04E11" w:rsidRDefault="00A04E11" w:rsidP="00A04E11">
            <w:pPr>
              <w:rPr>
                <w:rFonts w:cs="Arial"/>
                <w:sz w:val="22"/>
                <w:szCs w:val="22"/>
              </w:rPr>
            </w:pPr>
            <w:r w:rsidRPr="00A04E11">
              <w:rPr>
                <w:rFonts w:cs="Arial"/>
                <w:sz w:val="22"/>
                <w:szCs w:val="22"/>
              </w:rPr>
              <w:t>- one-page CV, containing his/her qualifications (certified copy of certificates).</w:t>
            </w:r>
          </w:p>
          <w:p w:rsidR="002A53B5" w:rsidRPr="000B6BFB" w:rsidRDefault="002A53B5" w:rsidP="002A53B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:rsidR="002A53B5" w:rsidRPr="004B4E81" w:rsidRDefault="002A53B5" w:rsidP="002A53B5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53B5" w:rsidRPr="004B4E81" w:rsidRDefault="002A53B5" w:rsidP="002A53B5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167B82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Please refer to section 9</w:t>
      </w:r>
      <w:r w:rsidR="00470D97" w:rsidRPr="00470D97">
        <w:rPr>
          <w:rFonts w:cs="Arial"/>
          <w:b/>
          <w:sz w:val="22"/>
          <w:szCs w:val="22"/>
        </w:rPr>
        <w:t xml:space="preserve"> to complete this form.  The form must be submitted in File 1, Exhibit 2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5E360C" w:rsidRDefault="005E360C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2097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93"/>
        <w:gridCol w:w="8221"/>
        <w:gridCol w:w="1418"/>
        <w:gridCol w:w="1401"/>
        <w:gridCol w:w="1292"/>
        <w:gridCol w:w="1417"/>
        <w:gridCol w:w="6237"/>
      </w:tblGrid>
      <w:tr w:rsidR="00B03085" w:rsidRPr="009851F5" w:rsidTr="00ED1ECC">
        <w:trPr>
          <w:trHeight w:val="1004"/>
          <w:tblHeader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ED1ECC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9851F5" w:rsidRDefault="00B0308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E62033" w:rsidRDefault="00455C1B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Profile, Infrastructure and Resources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470D9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09632E">
        <w:trPr>
          <w:trHeight w:val="49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F80FD7" w:rsidRDefault="00B03085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F80FD7">
              <w:rPr>
                <w:rFonts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CE5EFE" w:rsidRPr="0009632E" w:rsidRDefault="00D326D5" w:rsidP="00A04E11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The company's years of experience to render the employee assistance programme services as outlined in 9.2.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ED1ECC">
        <w:trPr>
          <w:trHeight w:val="600"/>
        </w:trPr>
        <w:tc>
          <w:tcPr>
            <w:tcW w:w="9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90533D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4077C8" w:rsidTr="005E360C">
        <w:trPr>
          <w:trHeight w:val="9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F80FD7" w:rsidRDefault="00300708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</w:t>
            </w:r>
            <w:r w:rsidRPr="00F80FD7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A04E11">
              <w:rPr>
                <w:rFonts w:cs="Arial"/>
                <w:sz w:val="22"/>
                <w:szCs w:val="22"/>
              </w:rPr>
              <w:t>The Bidder has to provide full contact details of a Key Account Manager, with a minimum of three (3) years of experience who will be assigned to SARS including:</w:t>
            </w:r>
          </w:p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A04E11">
              <w:rPr>
                <w:rFonts w:cs="Arial"/>
                <w:sz w:val="22"/>
                <w:szCs w:val="22"/>
              </w:rPr>
              <w:t>- one-page CV, containing his/her qualifications (certified copy of certificates).</w:t>
            </w:r>
          </w:p>
          <w:p w:rsidR="00300708" w:rsidRPr="00AB02DF" w:rsidRDefault="00300708" w:rsidP="0090533D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B62C57" w:rsidRDefault="0030070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5E360C" w:rsidRPr="004077C8" w:rsidTr="005E360C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60C" w:rsidRDefault="005E360C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E360C" w:rsidRDefault="00D326D5" w:rsidP="00A04E11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provide curriculum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vitaes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and proof of registration with HPCSA and SACSSP for a minimum of ten (10) call centre consultants. The curriculum vitae and proof of registration </w:t>
            </w:r>
            <w:proofErr w:type="gramStart"/>
            <w:r w:rsidRPr="00D326D5">
              <w:rPr>
                <w:rFonts w:cs="Arial"/>
                <w:sz w:val="22"/>
                <w:szCs w:val="22"/>
              </w:rPr>
              <w:t>should be submitted</w:t>
            </w:r>
            <w:proofErr w:type="gramEnd"/>
            <w:r w:rsidRPr="00D326D5">
              <w:rPr>
                <w:rFonts w:cs="Arial"/>
                <w:sz w:val="22"/>
                <w:szCs w:val="22"/>
              </w:rPr>
              <w:t xml:space="preserve"> for each call centre consultant.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60C" w:rsidRPr="00B62C57" w:rsidRDefault="005E360C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5E360C" w:rsidRDefault="005E360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0533D" w:rsidRPr="004077C8" w:rsidTr="005E360C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533D" w:rsidRDefault="0090533D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0533D" w:rsidRPr="0090533D" w:rsidRDefault="00D326D5" w:rsidP="00A04E11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 (s) has provided a minimum of two curriculum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vitaes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of persons/team responsible for undertaking qualitative and quantitative research/ surveys and compiling reports. CV's must show qualification in research, data or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statiscal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analysis and interpretation with the minimum </w:t>
            </w:r>
            <w:proofErr w:type="gramStart"/>
            <w:r w:rsidRPr="00D326D5">
              <w:rPr>
                <w:rFonts w:cs="Arial"/>
                <w:sz w:val="22"/>
                <w:szCs w:val="22"/>
              </w:rPr>
              <w:t>of  three</w:t>
            </w:r>
            <w:proofErr w:type="gramEnd"/>
            <w:r w:rsidRPr="00D326D5">
              <w:rPr>
                <w:rFonts w:cs="Arial"/>
                <w:sz w:val="22"/>
                <w:szCs w:val="22"/>
              </w:rPr>
              <w:t xml:space="preserve"> years of experience in report writing.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533D" w:rsidRPr="00B62C57" w:rsidRDefault="0090533D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90533D" w:rsidRDefault="0090533D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90533D" w:rsidRDefault="0090533D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90533D" w:rsidRDefault="0090533D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90533D" w:rsidRDefault="0090533D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D326D5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D326D5" w:rsidRDefault="00D326D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D326D5" w:rsidRDefault="00D326D5" w:rsidP="0090533D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 w:rsidRPr="00D326D5">
              <w:rPr>
                <w:rFonts w:cs="Arial"/>
                <w:b/>
                <w:color w:val="FFFFFF"/>
                <w:sz w:val="22"/>
                <w:szCs w:val="22"/>
              </w:rPr>
              <w:t>Psychosocial Awareness Session and Capacity Building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D326D5" w:rsidRPr="004077C8" w:rsidTr="00D326D5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 w:rsidRPr="00D326D5">
              <w:rPr>
                <w:rFonts w:cs="Arial"/>
                <w:b/>
                <w:sz w:val="22"/>
                <w:szCs w:val="22"/>
                <w:lang w:val="en-GB"/>
              </w:rPr>
              <w:t>3.1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provide curriculum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vitaes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of minimum of four (4) qualified counsellors/clinical </w:t>
            </w:r>
            <w:r w:rsidRPr="00D326D5">
              <w:rPr>
                <w:rFonts w:cs="Arial"/>
                <w:sz w:val="22"/>
                <w:szCs w:val="22"/>
              </w:rPr>
              <w:t>psychologists, social</w:t>
            </w:r>
            <w:r w:rsidRPr="00D326D5">
              <w:rPr>
                <w:rFonts w:cs="Arial"/>
                <w:sz w:val="22"/>
                <w:szCs w:val="22"/>
              </w:rPr>
              <w:t xml:space="preserve"> workers to facilitate psychosocial awareness sessions and train - the - trainer. CV should include the following:</w:t>
            </w: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• Name and Surname </w:t>
            </w: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• Relevant qualification ( attach copy of certificate)</w:t>
            </w: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• Years of experience in counselling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D326D5" w:rsidRPr="004077C8" w:rsidTr="00D326D5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3.2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provide samples of proof of previously generated examples of </w:t>
            </w:r>
            <w:proofErr w:type="gramStart"/>
            <w:r w:rsidRPr="00D326D5">
              <w:rPr>
                <w:rFonts w:cs="Arial"/>
                <w:sz w:val="22"/>
                <w:szCs w:val="22"/>
              </w:rPr>
              <w:t>Psycho-social</w:t>
            </w:r>
            <w:proofErr w:type="gramEnd"/>
            <w:r w:rsidRPr="00D326D5">
              <w:rPr>
                <w:rFonts w:cs="Arial"/>
                <w:sz w:val="22"/>
                <w:szCs w:val="22"/>
              </w:rPr>
              <w:t xml:space="preserve"> awareness sessions material in line with paragraph 9.2.1.2 of the main RFP document. 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D326D5" w:rsidRPr="004077C8" w:rsidTr="00D326D5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3.3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The bidder(s) has to provide samples of proof of previously generated examples of Train- the - trainer material in line with paragraph 9.2.2.2 of the main RFP document.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D326D5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D326D5" w:rsidRPr="004077C8" w:rsidTr="00D326D5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  <w:vAlign w:val="center"/>
          </w:tcPr>
          <w:p w:rsid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  <w:vAlign w:val="center"/>
          </w:tcPr>
          <w:p w:rsid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National Footprint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F243E" w:themeFill="text2" w:themeFillShade="80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A04E11" w:rsidRPr="004077C8" w:rsidTr="00A04E11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04E11" w:rsidRPr="00D326D5" w:rsidRDefault="001C4810" w:rsidP="00D326D5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4</w:t>
            </w:r>
            <w:bookmarkStart w:id="0" w:name="_GoBack"/>
            <w:bookmarkEnd w:id="0"/>
            <w:r w:rsidR="00410876" w:rsidRPr="00D326D5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  <w:p w:rsidR="00A04E11" w:rsidRPr="00D326D5" w:rsidRDefault="00A04E11" w:rsidP="00D326D5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410876" w:rsidRPr="00410876" w:rsidRDefault="00410876" w:rsidP="00410876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10876">
              <w:rPr>
                <w:rFonts w:cs="Arial"/>
                <w:sz w:val="22"/>
                <w:szCs w:val="22"/>
              </w:rPr>
              <w:t xml:space="preserve">Provide a summary of the bidder's database of network of affiliate’s across the nine (9) regions by completing all columns in </w:t>
            </w:r>
            <w:r w:rsidRPr="00410876">
              <w:rPr>
                <w:rFonts w:cs="Arial"/>
                <w:b/>
                <w:sz w:val="22"/>
                <w:szCs w:val="22"/>
              </w:rPr>
              <w:t>Annexure C1</w:t>
            </w:r>
            <w:r w:rsidRPr="00410876">
              <w:rPr>
                <w:rFonts w:cs="Arial"/>
                <w:sz w:val="22"/>
                <w:szCs w:val="22"/>
              </w:rPr>
              <w:t xml:space="preserve">. The bidder to confirm that national footprint can provide services in line with the minimum ratio of 1: 30 (Affiliates against SARS Regional headcount) per each region (Refer to Table 9A for SARS Head Count per region). The qualified clinical/counselling psychologists, registered counsellors and social workers should be scattered in all areas where </w:t>
            </w:r>
            <w:r w:rsidRPr="00410876">
              <w:rPr>
                <w:rFonts w:cs="Arial"/>
                <w:sz w:val="22"/>
                <w:szCs w:val="22"/>
              </w:rPr>
              <w:lastRenderedPageBreak/>
              <w:t>employees and family members can easily access the sessions at the affiliate’s practice rooms that are closer to place of residence or work.</w:t>
            </w:r>
          </w:p>
          <w:p w:rsidR="00410876" w:rsidRPr="00410876" w:rsidRDefault="00410876" w:rsidP="00410876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:rsidR="00A04E11" w:rsidRPr="00A04E11" w:rsidRDefault="00410876" w:rsidP="00410876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10876">
              <w:rPr>
                <w:rFonts w:cs="Arial"/>
                <w:sz w:val="22"/>
                <w:szCs w:val="22"/>
              </w:rPr>
              <w:t>Bidder must be able to offer services in the eleven official languages and including South African sign language (where possible).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04E11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A04E11" w:rsidRPr="00A04E11" w:rsidRDefault="00D326D5" w:rsidP="00410876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  <w:r w:rsidR="00410876" w:rsidRPr="00410876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A04E11" w:rsidRPr="00A04E11" w:rsidRDefault="00D326D5" w:rsidP="00410876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Reports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04E11" w:rsidRPr="004077C8" w:rsidTr="00410876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04E11" w:rsidRPr="00A04E11" w:rsidRDefault="00D326D5" w:rsidP="00A04E11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410876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provide sample of proof of previously generated ad-hoc, monthly,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quartely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and annual reports for employee assistance programme. The reports must reflect  following:                                                                                                                                   • Statistics and calculations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• Uptake &amp; Utilisation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• Themes and trends 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• Benchmarking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• Training and interventions </w:t>
            </w:r>
          </w:p>
          <w:p w:rsidR="00A04E11" w:rsidRPr="00A04E11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• Conclusions and recommendations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A04E11" w:rsidRPr="00A04E11" w:rsidRDefault="00A04E11" w:rsidP="00A04E11">
            <w:pPr>
              <w:widowControl w:val="0"/>
              <w:tabs>
                <w:tab w:val="left" w:pos="459"/>
              </w:tabs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10876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410876" w:rsidRDefault="00D326D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  <w:r w:rsidR="00410876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410876" w:rsidRPr="0090533D" w:rsidRDefault="00D326D5" w:rsidP="0090533D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Marketing and Awareness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410876" w:rsidRPr="004077C8" w:rsidTr="00410876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410876" w:rsidRPr="00410876" w:rsidRDefault="00D326D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="00410876" w:rsidRPr="00410876">
              <w:rPr>
                <w:rFonts w:cs="Arial"/>
                <w:b/>
                <w:sz w:val="22"/>
                <w:szCs w:val="22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410876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The bidder(s) has to provide samples of proof of previously generated examples of posters, wallet cards, brochures, pamphlets, booklets, handbooks and any other branded communication material utilized at other companies.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410876" w:rsidRPr="00982A20" w:rsidRDefault="00410876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D326D5" w:rsidRPr="004077C8" w:rsidTr="00410876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410876" w:rsidRDefault="00D326D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provide sample of proof for previously </w:t>
            </w:r>
            <w:proofErr w:type="gramStart"/>
            <w:r w:rsidRPr="00D326D5">
              <w:rPr>
                <w:rFonts w:cs="Arial"/>
                <w:sz w:val="22"/>
                <w:szCs w:val="22"/>
              </w:rPr>
              <w:t>generated  examples</w:t>
            </w:r>
            <w:proofErr w:type="gramEnd"/>
            <w:r w:rsidRPr="00D326D5">
              <w:rPr>
                <w:rFonts w:cs="Arial"/>
                <w:sz w:val="22"/>
                <w:szCs w:val="22"/>
              </w:rPr>
              <w:t xml:space="preserve"> of project plan coordinated and implemented Health Calendar Days Campaigns in line with the National Health Calendar in section 9.2.9 of the RFP.</w:t>
            </w:r>
          </w:p>
          <w:p w:rsidR="00D326D5" w:rsidRPr="00D326D5" w:rsidRDefault="00D326D5" w:rsidP="00D326D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D326D5" w:rsidRPr="004077C8" w:rsidTr="00C6601E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7</w:t>
            </w: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D326D5" w:rsidRPr="0090533D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 w:rsidRPr="00D326D5">
              <w:rPr>
                <w:rFonts w:cs="Arial"/>
                <w:b/>
                <w:color w:val="FFFFFF"/>
                <w:sz w:val="22"/>
                <w:szCs w:val="22"/>
              </w:rPr>
              <w:t>Specialised Intervention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D326D5" w:rsidRPr="00982A20" w:rsidRDefault="00D326D5" w:rsidP="00D326D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D326D5" w:rsidRPr="004077C8" w:rsidTr="00410876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Default="00D326D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The bidder(s) has to submit CV's </w:t>
            </w:r>
            <w:proofErr w:type="gramStart"/>
            <w:r w:rsidRPr="00D326D5">
              <w:rPr>
                <w:rFonts w:cs="Arial"/>
                <w:sz w:val="22"/>
                <w:szCs w:val="22"/>
              </w:rPr>
              <w:t>of  pre</w:t>
            </w:r>
            <w:proofErr w:type="gramEnd"/>
            <w:r w:rsidRPr="00D326D5">
              <w:rPr>
                <w:rFonts w:cs="Arial"/>
                <w:sz w:val="22"/>
                <w:szCs w:val="22"/>
              </w:rPr>
              <w:t xml:space="preserve">-approved list with a minimum of six (6) recommended financial consultants (who are </w:t>
            </w:r>
            <w:proofErr w:type="spellStart"/>
            <w:r w:rsidRPr="00D326D5">
              <w:rPr>
                <w:rFonts w:cs="Arial"/>
                <w:sz w:val="22"/>
                <w:szCs w:val="22"/>
              </w:rPr>
              <w:t>regsitered</w:t>
            </w:r>
            <w:proofErr w:type="spellEnd"/>
            <w:r w:rsidRPr="00D326D5">
              <w:rPr>
                <w:rFonts w:cs="Arial"/>
                <w:sz w:val="22"/>
                <w:szCs w:val="22"/>
              </w:rPr>
              <w:t xml:space="preserve"> to provide advisory and debt management services) for the duration of the contract. The Bidders submission should include the following:</w:t>
            </w: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 xml:space="preserve">Valid FAIS certificate for each recommended financial advisor/consultant </w:t>
            </w:r>
          </w:p>
          <w:p w:rsidR="00D326D5" w:rsidRPr="00D326D5" w:rsidRDefault="00D326D5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326D5">
              <w:rPr>
                <w:rFonts w:cs="Arial"/>
                <w:sz w:val="22"/>
                <w:szCs w:val="22"/>
              </w:rPr>
              <w:t>A cv  indicating years of experience in providing financial advise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C6601E" w:rsidRPr="004077C8" w:rsidTr="00C6601E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C6601E" w:rsidRPr="00C6601E" w:rsidRDefault="00C6601E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 w:rsidRPr="00C6601E">
              <w:rPr>
                <w:rFonts w:cs="Arial"/>
                <w:b/>
                <w:color w:val="FFFFFF"/>
                <w:sz w:val="22"/>
                <w:szCs w:val="22"/>
              </w:rPr>
              <w:lastRenderedPageBreak/>
              <w:t>8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C6601E" w:rsidRPr="00C6601E" w:rsidRDefault="00C6601E" w:rsidP="00D326D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 w:rsidRPr="00C6601E">
              <w:rPr>
                <w:rFonts w:cs="Arial"/>
                <w:b/>
                <w:color w:val="FFFFFF"/>
                <w:sz w:val="22"/>
                <w:szCs w:val="22"/>
              </w:rPr>
              <w:t>Monitoring and Evaluation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C6601E" w:rsidRPr="00D326D5" w:rsidRDefault="00C6601E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C6601E" w:rsidRPr="00982A20" w:rsidRDefault="00C6601E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C6601E" w:rsidRPr="00982A20" w:rsidRDefault="00C6601E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C6601E" w:rsidRPr="00982A20" w:rsidRDefault="00C6601E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C6601E" w:rsidRPr="00982A20" w:rsidRDefault="00C6601E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D326D5" w:rsidRPr="004077C8" w:rsidTr="00410876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Default="00C6601E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D326D5" w:rsidRPr="00D326D5" w:rsidRDefault="00C6601E" w:rsidP="00D326D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C6601E">
              <w:rPr>
                <w:rFonts w:cs="Arial"/>
                <w:sz w:val="22"/>
                <w:szCs w:val="22"/>
              </w:rPr>
              <w:t>The bidder(s) must submit to SARS proof/examples for previously generated example of client satisfaction survey.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D326D5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D326D5" w:rsidRPr="00982A20" w:rsidRDefault="00D326D5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982A20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AB02DF" w:rsidRDefault="00C6601E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9</w:t>
            </w:r>
            <w:r w:rsidR="008C3A23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C6601E" w:rsidRPr="00C6601E" w:rsidRDefault="00C6601E" w:rsidP="00C6601E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 w:rsidRPr="00C6601E">
              <w:rPr>
                <w:rFonts w:cs="Arial"/>
                <w:b/>
                <w:color w:val="FFFFFF"/>
                <w:sz w:val="22"/>
                <w:szCs w:val="22"/>
              </w:rPr>
              <w:t>Record Keeping and Document Management</w:t>
            </w:r>
          </w:p>
          <w:p w:rsidR="00982A20" w:rsidRPr="00AB02DF" w:rsidRDefault="00982A20" w:rsidP="00AD650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356647" w:rsidRPr="004077C8" w:rsidTr="005E360C">
        <w:trPr>
          <w:trHeight w:val="832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C6601E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9</w:t>
            </w:r>
            <w:r w:rsidR="00423A9B">
              <w:rPr>
                <w:rFonts w:cs="Arial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90533D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90533D">
              <w:rPr>
                <w:rFonts w:cs="Arial"/>
                <w:sz w:val="22"/>
                <w:szCs w:val="22"/>
              </w:rPr>
              <w:t>Ensures that electronic, as well as paper-based, confidential client information, will be stored and maintained safely;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56647" w:rsidRPr="00B62C5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90533D" w:rsidRPr="004077C8" w:rsidTr="005E360C">
        <w:trPr>
          <w:trHeight w:val="832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533D" w:rsidRDefault="00C6601E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9</w:t>
            </w:r>
            <w:r w:rsidR="0090533D">
              <w:rPr>
                <w:rFonts w:cs="Arial"/>
                <w:b/>
                <w:sz w:val="22"/>
                <w:szCs w:val="22"/>
                <w:lang w:val="en-US"/>
              </w:rPr>
              <w:t>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533D" w:rsidRPr="0090533D" w:rsidRDefault="0090533D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90533D">
              <w:rPr>
                <w:rFonts w:cs="Arial"/>
                <w:sz w:val="22"/>
                <w:szCs w:val="22"/>
              </w:rPr>
              <w:t>Administrative process / procedure for audit purposes and managing all records, is efficient and effective; and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0533D" w:rsidRPr="00B62C57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90533D" w:rsidRPr="004077C8" w:rsidTr="005E360C">
        <w:trPr>
          <w:trHeight w:val="832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533D" w:rsidRDefault="00C6601E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9</w:t>
            </w:r>
            <w:r w:rsidR="0090533D">
              <w:rPr>
                <w:rFonts w:cs="Arial"/>
                <w:b/>
                <w:sz w:val="22"/>
                <w:szCs w:val="22"/>
                <w:lang w:val="en-US"/>
              </w:rPr>
              <w:t>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533D" w:rsidRPr="0090533D" w:rsidRDefault="0090533D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90533D">
              <w:rPr>
                <w:rFonts w:cs="Arial"/>
                <w:sz w:val="22"/>
                <w:szCs w:val="22"/>
              </w:rPr>
              <w:t>Ensures that document management processes and procedures (i.e. retention of records and destruction) are in place.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0533D" w:rsidRPr="00B62C57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533D" w:rsidRDefault="0090533D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2A53B5" w:rsidRPr="004077C8" w:rsidTr="00086667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2A53B5" w:rsidRPr="00AB02DF" w:rsidRDefault="00C6601E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10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0533D" w:rsidRPr="0090533D" w:rsidRDefault="0090533D" w:rsidP="0090533D">
            <w:pPr>
              <w:pStyle w:val="Default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90533D">
              <w:rPr>
                <w:b/>
                <w:bCs/>
                <w:color w:val="FFFFFF" w:themeColor="background1"/>
                <w:sz w:val="22"/>
                <w:szCs w:val="22"/>
              </w:rPr>
              <w:t xml:space="preserve">Reference Letters </w:t>
            </w:r>
          </w:p>
          <w:p w:rsidR="002A53B5" w:rsidRPr="00AB02DF" w:rsidRDefault="002A53B5" w:rsidP="002A53B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2A53B5" w:rsidRPr="00982A20" w:rsidRDefault="002A53B5" w:rsidP="002A53B5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455C1B" w:rsidRPr="004077C8" w:rsidTr="005E360C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55C1B" w:rsidRDefault="00C6601E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10.1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55C1B" w:rsidRPr="00455C1B" w:rsidRDefault="00C6601E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C6601E">
              <w:rPr>
                <w:rFonts w:cs="Arial"/>
                <w:sz w:val="22"/>
                <w:szCs w:val="22"/>
              </w:rPr>
              <w:t xml:space="preserve">Provide reference letters from at least three (3) contactable </w:t>
            </w:r>
            <w:proofErr w:type="spellStart"/>
            <w:r w:rsidRPr="00C6601E">
              <w:rPr>
                <w:rFonts w:cs="Arial"/>
                <w:sz w:val="22"/>
                <w:szCs w:val="22"/>
              </w:rPr>
              <w:t>clients</w:t>
            </w:r>
            <w:proofErr w:type="gramStart"/>
            <w:r w:rsidRPr="00C6601E">
              <w:rPr>
                <w:rFonts w:cs="Arial"/>
                <w:sz w:val="22"/>
                <w:szCs w:val="22"/>
              </w:rPr>
              <w:t>,on</w:t>
            </w:r>
            <w:proofErr w:type="spellEnd"/>
            <w:proofErr w:type="gramEnd"/>
            <w:r w:rsidRPr="00C6601E">
              <w:rPr>
                <w:rFonts w:cs="Arial"/>
                <w:sz w:val="22"/>
                <w:szCs w:val="22"/>
              </w:rPr>
              <w:t xml:space="preserve"> a company letter head, to whom similar services have been provided to in the past five (5) years. The reference letters must </w:t>
            </w:r>
            <w:proofErr w:type="gramStart"/>
            <w:r w:rsidRPr="00C6601E">
              <w:rPr>
                <w:rFonts w:cs="Arial"/>
                <w:sz w:val="22"/>
                <w:szCs w:val="22"/>
              </w:rPr>
              <w:t>include:</w:t>
            </w:r>
            <w:proofErr w:type="gramEnd"/>
            <w:r w:rsidRPr="00C6601E">
              <w:rPr>
                <w:rFonts w:cs="Arial"/>
                <w:sz w:val="22"/>
                <w:szCs w:val="22"/>
              </w:rPr>
              <w:t xml:space="preserve"> company name, contact person name and designation, phone number, email address, duration of contract, a brief description of the services rendered and the level of satisfaction with the service rendered.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455C1B" w:rsidRPr="00B62C57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55C1B" w:rsidRDefault="00455C1B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1C4810" w:rsidRPr="004077C8" w:rsidTr="001C4810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1C4810" w:rsidRDefault="001C4810" w:rsidP="002A53B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1C4810" w:rsidRDefault="001C4810" w:rsidP="001C4810">
            <w:pPr>
              <w:jc w:val="left"/>
              <w:rPr>
                <w:rFonts w:ascii="Arial Narrow" w:hAnsi="Arial Narrow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FFFFFF"/>
                <w:sz w:val="22"/>
                <w:szCs w:val="22"/>
              </w:rPr>
              <w:t>Presentation</w:t>
            </w:r>
          </w:p>
          <w:p w:rsidR="001C4810" w:rsidRPr="00C6601E" w:rsidRDefault="001C4810" w:rsidP="002D4E29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bottom"/>
          </w:tcPr>
          <w:p w:rsidR="001C4810" w:rsidRPr="00B62C57" w:rsidRDefault="001C4810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bottom"/>
          </w:tcPr>
          <w:p w:rsidR="001C4810" w:rsidRDefault="001C4810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bottom"/>
          </w:tcPr>
          <w:p w:rsidR="001C4810" w:rsidRDefault="001C4810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bottom"/>
          </w:tcPr>
          <w:p w:rsidR="001C4810" w:rsidRDefault="001C4810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bottom"/>
          </w:tcPr>
          <w:p w:rsidR="001C4810" w:rsidRDefault="001C4810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1C4810" w:rsidRPr="004077C8" w:rsidTr="0025013F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11.1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C4810" w:rsidRPr="001C4810" w:rsidRDefault="001C4810" w:rsidP="001C4810">
            <w:pPr>
              <w:rPr>
                <w:rFonts w:cs="Arial"/>
                <w:sz w:val="22"/>
                <w:szCs w:val="22"/>
              </w:rPr>
            </w:pPr>
            <w:r w:rsidRPr="001C4810">
              <w:rPr>
                <w:rFonts w:cs="Arial"/>
                <w:sz w:val="22"/>
                <w:szCs w:val="22"/>
              </w:rPr>
              <w:t>The bidder(s) has demonstrated the operational capability including methodology, approach and process to execute an all-inclusive package of Employee Assistance Programme as specified in the SARS scope of work.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C4810" w:rsidRPr="00B62C57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1C4810" w:rsidRPr="004077C8" w:rsidTr="0025013F">
        <w:trPr>
          <w:trHeight w:val="6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11.2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C4810" w:rsidRPr="001C4810" w:rsidRDefault="001C4810" w:rsidP="001C4810">
            <w:pPr>
              <w:rPr>
                <w:rFonts w:cs="Arial"/>
                <w:sz w:val="22"/>
                <w:szCs w:val="22"/>
              </w:rPr>
            </w:pPr>
            <w:r w:rsidRPr="001C4810">
              <w:rPr>
                <w:rFonts w:cs="Arial"/>
                <w:sz w:val="22"/>
                <w:szCs w:val="22"/>
              </w:rPr>
              <w:t xml:space="preserve">The bidder(s) to demonstrate the capability to integrate information from trend report and recommend customised intervention to address identified risk.                                                                   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C4810" w:rsidRPr="00B62C57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1C4810" w:rsidRDefault="001C4810" w:rsidP="001C4810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Pr="00470D97" w:rsidRDefault="00B03085" w:rsidP="00511C94">
      <w:pPr>
        <w:spacing w:line="360" w:lineRule="auto"/>
        <w:rPr>
          <w:rFonts w:cs="Arial"/>
          <w:color w:val="FFFFFF" w:themeColor="background1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F121DF">
      <w:headerReference w:type="default" r:id="rId8"/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60" w:rsidRDefault="00104C60" w:rsidP="00470D97">
      <w:r>
        <w:separator/>
      </w:r>
    </w:p>
  </w:endnote>
  <w:endnote w:type="continuationSeparator" w:id="0">
    <w:p w:rsidR="00104C60" w:rsidRDefault="00104C60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60" w:rsidRDefault="00104C60" w:rsidP="00470D97">
      <w:r>
        <w:separator/>
      </w:r>
    </w:p>
  </w:footnote>
  <w:footnote w:type="continuationSeparator" w:id="0">
    <w:p w:rsidR="00104C60" w:rsidRDefault="00104C60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3480A4DF" wp14:editId="4641C7D8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C7239" wp14:editId="60D6DCDB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DED8F4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2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8874C0F"/>
    <w:multiLevelType w:val="multilevel"/>
    <w:tmpl w:val="0700ED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F12B9D"/>
    <w:multiLevelType w:val="hybridMultilevel"/>
    <w:tmpl w:val="A3AEE988"/>
    <w:lvl w:ilvl="0" w:tplc="1C0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45E5176D"/>
    <w:multiLevelType w:val="hybridMultilevel"/>
    <w:tmpl w:val="A9D26F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47B99"/>
    <w:multiLevelType w:val="hybridMultilevel"/>
    <w:tmpl w:val="36EC8D68"/>
    <w:lvl w:ilvl="0" w:tplc="1C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12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11"/>
  </w:num>
  <w:num w:numId="8">
    <w:abstractNumId w:val="13"/>
  </w:num>
  <w:num w:numId="9">
    <w:abstractNumId w:val="0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9"/>
    <w:rsid w:val="000106EB"/>
    <w:rsid w:val="00023ACE"/>
    <w:rsid w:val="0002672C"/>
    <w:rsid w:val="00042824"/>
    <w:rsid w:val="0009632E"/>
    <w:rsid w:val="000B6BFB"/>
    <w:rsid w:val="000C30C5"/>
    <w:rsid w:val="000C4DD4"/>
    <w:rsid w:val="000F2744"/>
    <w:rsid w:val="00104C60"/>
    <w:rsid w:val="00136353"/>
    <w:rsid w:val="00167B82"/>
    <w:rsid w:val="001A7D67"/>
    <w:rsid w:val="001C4810"/>
    <w:rsid w:val="001F3C3A"/>
    <w:rsid w:val="00227C9C"/>
    <w:rsid w:val="00281D88"/>
    <w:rsid w:val="002A2D2A"/>
    <w:rsid w:val="002A53B5"/>
    <w:rsid w:val="002D302C"/>
    <w:rsid w:val="002D4E29"/>
    <w:rsid w:val="00300708"/>
    <w:rsid w:val="003226B5"/>
    <w:rsid w:val="00356647"/>
    <w:rsid w:val="003A6961"/>
    <w:rsid w:val="00410876"/>
    <w:rsid w:val="00412F4A"/>
    <w:rsid w:val="00423A9B"/>
    <w:rsid w:val="00431B7F"/>
    <w:rsid w:val="00431F16"/>
    <w:rsid w:val="004421EE"/>
    <w:rsid w:val="00455C1B"/>
    <w:rsid w:val="00470D97"/>
    <w:rsid w:val="00475327"/>
    <w:rsid w:val="004B4E81"/>
    <w:rsid w:val="004C2773"/>
    <w:rsid w:val="004C4934"/>
    <w:rsid w:val="004C7370"/>
    <w:rsid w:val="00511C94"/>
    <w:rsid w:val="00546DB8"/>
    <w:rsid w:val="005A576A"/>
    <w:rsid w:val="005E360C"/>
    <w:rsid w:val="006334DB"/>
    <w:rsid w:val="006358DB"/>
    <w:rsid w:val="0065259F"/>
    <w:rsid w:val="00654240"/>
    <w:rsid w:val="00671551"/>
    <w:rsid w:val="00672B9E"/>
    <w:rsid w:val="007031A7"/>
    <w:rsid w:val="00705FD2"/>
    <w:rsid w:val="00725717"/>
    <w:rsid w:val="007670B9"/>
    <w:rsid w:val="007C4CF4"/>
    <w:rsid w:val="008344C2"/>
    <w:rsid w:val="0085503D"/>
    <w:rsid w:val="008B6773"/>
    <w:rsid w:val="008C3A23"/>
    <w:rsid w:val="0090533D"/>
    <w:rsid w:val="00964E6C"/>
    <w:rsid w:val="00967059"/>
    <w:rsid w:val="00982A20"/>
    <w:rsid w:val="00A0445B"/>
    <w:rsid w:val="00A04E11"/>
    <w:rsid w:val="00A6098A"/>
    <w:rsid w:val="00A93A2D"/>
    <w:rsid w:val="00AB02DF"/>
    <w:rsid w:val="00AD6505"/>
    <w:rsid w:val="00B03085"/>
    <w:rsid w:val="00B71A57"/>
    <w:rsid w:val="00B82CAF"/>
    <w:rsid w:val="00B91003"/>
    <w:rsid w:val="00BC2F53"/>
    <w:rsid w:val="00BE6038"/>
    <w:rsid w:val="00C019A6"/>
    <w:rsid w:val="00C6601E"/>
    <w:rsid w:val="00C82799"/>
    <w:rsid w:val="00C946B3"/>
    <w:rsid w:val="00CB3D5F"/>
    <w:rsid w:val="00CB751B"/>
    <w:rsid w:val="00CC2A22"/>
    <w:rsid w:val="00CE5EFE"/>
    <w:rsid w:val="00D326D5"/>
    <w:rsid w:val="00D473BA"/>
    <w:rsid w:val="00D8015B"/>
    <w:rsid w:val="00DF0DEB"/>
    <w:rsid w:val="00DF4705"/>
    <w:rsid w:val="00E0266A"/>
    <w:rsid w:val="00E62033"/>
    <w:rsid w:val="00E8219D"/>
    <w:rsid w:val="00ED1ECC"/>
    <w:rsid w:val="00EE7261"/>
    <w:rsid w:val="00F121DF"/>
    <w:rsid w:val="00F760F3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84FF4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53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6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6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53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1969-F0ED-4186-9F5F-C69BBC0A4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13</cp:revision>
  <cp:lastPrinted>2019-11-12T07:50:00Z</cp:lastPrinted>
  <dcterms:created xsi:type="dcterms:W3CDTF">2020-08-27T09:33:00Z</dcterms:created>
  <dcterms:modified xsi:type="dcterms:W3CDTF">2021-10-13T08:31:00Z</dcterms:modified>
</cp:coreProperties>
</file>